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8F" w:rsidRDefault="00A6058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058F" w:rsidRDefault="00A6058F">
      <w:pPr>
        <w:pStyle w:val="ConsPlusNormal"/>
        <w:ind w:firstLine="540"/>
        <w:jc w:val="both"/>
        <w:outlineLvl w:val="0"/>
      </w:pPr>
    </w:p>
    <w:p w:rsidR="00A6058F" w:rsidRDefault="00A6058F">
      <w:pPr>
        <w:pStyle w:val="ConsPlusTitle"/>
        <w:jc w:val="center"/>
        <w:outlineLvl w:val="0"/>
      </w:pPr>
      <w:r>
        <w:t>АДМИНИСТРАЦИЯ ОРЛОВСКОГО МУНИЦИПАЛЬНОГО ОКРУГА</w:t>
      </w:r>
    </w:p>
    <w:p w:rsidR="00A6058F" w:rsidRDefault="00A6058F">
      <w:pPr>
        <w:pStyle w:val="ConsPlusTitle"/>
        <w:jc w:val="center"/>
      </w:pPr>
    </w:p>
    <w:p w:rsidR="00A6058F" w:rsidRDefault="00A6058F">
      <w:pPr>
        <w:pStyle w:val="ConsPlusTitle"/>
        <w:jc w:val="center"/>
      </w:pPr>
      <w:r>
        <w:t>ПОСТАНОВЛЕНИЕ</w:t>
      </w:r>
    </w:p>
    <w:p w:rsidR="00A6058F" w:rsidRDefault="00A6058F">
      <w:pPr>
        <w:pStyle w:val="ConsPlusTitle"/>
        <w:jc w:val="center"/>
      </w:pPr>
      <w:r>
        <w:t>от 31 марта 2022 г. N 767</w:t>
      </w:r>
    </w:p>
    <w:p w:rsidR="00A6058F" w:rsidRDefault="00A6058F">
      <w:pPr>
        <w:pStyle w:val="ConsPlusTitle"/>
        <w:jc w:val="center"/>
      </w:pPr>
    </w:p>
    <w:p w:rsidR="00A6058F" w:rsidRDefault="00A6058F">
      <w:pPr>
        <w:pStyle w:val="ConsPlusTitle"/>
        <w:jc w:val="center"/>
      </w:pPr>
      <w:r>
        <w:t>ОБ УТВЕРЖДЕНИИ ПОРЯДКА И УСЛОВИЙ</w:t>
      </w:r>
    </w:p>
    <w:p w:rsidR="00A6058F" w:rsidRDefault="00A6058F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A6058F" w:rsidRDefault="00A6058F">
      <w:pPr>
        <w:pStyle w:val="ConsPlusTitle"/>
        <w:jc w:val="center"/>
      </w:pPr>
      <w:r>
        <w:t>ОТДЕЛЬНЫМ КАТЕГОРИЯМ ДЕТЕЙ В ОРЛОВСКОМ МУНИЦИПАЛЬНОМ ОКРУГЕ</w:t>
      </w:r>
    </w:p>
    <w:p w:rsidR="00A6058F" w:rsidRDefault="00A6058F">
      <w:pPr>
        <w:pStyle w:val="ConsPlusTitle"/>
        <w:jc w:val="center"/>
      </w:pPr>
      <w:r>
        <w:t>В СФЕРЕ ОРГАНИЗАЦИИ ОТДЫХА И ОЗДОРОВЛЕНИЯ</w:t>
      </w:r>
    </w:p>
    <w:p w:rsidR="00A6058F" w:rsidRDefault="00A605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8F" w:rsidRDefault="00A605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8F" w:rsidRDefault="00A605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Орловского муниципального округа</w:t>
            </w:r>
          </w:p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5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13.03.2023 </w:t>
            </w:r>
            <w:hyperlink r:id="rId6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22.03.2023 </w:t>
            </w:r>
            <w:hyperlink r:id="rId7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12.03.2024 </w:t>
            </w:r>
            <w:hyperlink r:id="rId8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8F" w:rsidRDefault="00A6058F">
            <w:pPr>
              <w:pStyle w:val="ConsPlusNormal"/>
            </w:pPr>
          </w:p>
        </w:tc>
      </w:tr>
    </w:tbl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Орловской области от 5 февраля 2010 года N 1021-ОЗ "Об основах организации и обеспечения отдыха и оздоровления детей в Орловской области", на основании постановлений Правительства Орловской области от 26 марта 2020 года </w:t>
      </w:r>
      <w:hyperlink r:id="rId11">
        <w:r>
          <w:rPr>
            <w:color w:val="0000FF"/>
          </w:rPr>
          <w:t>N 176</w:t>
        </w:r>
      </w:hyperlink>
      <w:r>
        <w:t xml:space="preserve"> "О реализации отдельных положений Закона Орловской области от 5 февраля 2010 года N 1021-ОЗ "Об основах организации и обеспечения отдыха и оздоровления детей в Орловской области", в целях совершенствования порядка и условий предоставления мер социальной поддержки администрация округа постановляет: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13.03.2023 N 665)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 и условия</w:t>
        </w:r>
      </w:hyperlink>
      <w:r>
        <w:t xml:space="preserve"> предоставления дополнительных мер социальной поддержки отдельным категориям детей в Орловском муниципальном округе в сфере организации отдыха и оздоровления детей согласно приложению.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13.03.2023 N 665)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Орловского района от 2 апреля 2021 года N 775 "Об утверждении порядка и условий предоставления мер социальной поддержки отдельным категориям детей в Орловском районе в сфере организации отдыха и оздоровления";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Орловского района от 8 июня 2021 года N 1411 "О внесении изменения в постановление Администрации Орловского района от 2 апреля 2021 года N 775 "Об утверждении порядка и условий предоставления мер социальной поддержки отдельным категориям детей в Орловском районе в сфере организации отдыха и оздоровления".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 Обнародовать настоящее постановление и разместить его на официальном Интернет-сайте Орловского муниципального округа (www.orlr.ru). Датой обнародования считать 8 апреля 2022 года.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даты его обнародования.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округа по социальным вопросам.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jc w:val="right"/>
      </w:pPr>
      <w:r>
        <w:t>Глава округа</w:t>
      </w:r>
    </w:p>
    <w:p w:rsidR="00A6058F" w:rsidRDefault="00A6058F">
      <w:pPr>
        <w:pStyle w:val="ConsPlusNormal"/>
        <w:jc w:val="right"/>
      </w:pPr>
      <w:r>
        <w:lastRenderedPageBreak/>
        <w:t>Р.А.ЖУКОВ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jc w:val="right"/>
        <w:outlineLvl w:val="0"/>
      </w:pPr>
      <w:r>
        <w:t>Приложение</w:t>
      </w:r>
    </w:p>
    <w:p w:rsidR="00A6058F" w:rsidRDefault="00A6058F">
      <w:pPr>
        <w:pStyle w:val="ConsPlusNormal"/>
        <w:jc w:val="right"/>
      </w:pPr>
      <w:r>
        <w:t>к постановлению</w:t>
      </w:r>
    </w:p>
    <w:p w:rsidR="00A6058F" w:rsidRDefault="00A6058F">
      <w:pPr>
        <w:pStyle w:val="ConsPlusNormal"/>
        <w:jc w:val="right"/>
      </w:pPr>
      <w:r>
        <w:t>Администрации Орловского</w:t>
      </w:r>
    </w:p>
    <w:p w:rsidR="00A6058F" w:rsidRDefault="00A6058F">
      <w:pPr>
        <w:pStyle w:val="ConsPlusNormal"/>
        <w:jc w:val="right"/>
      </w:pPr>
      <w:r>
        <w:t>муниципального округа</w:t>
      </w:r>
    </w:p>
    <w:p w:rsidR="00A6058F" w:rsidRDefault="00A6058F">
      <w:pPr>
        <w:pStyle w:val="ConsPlusNormal"/>
        <w:jc w:val="right"/>
      </w:pPr>
      <w:r>
        <w:t>от 30 марта 2022 г. N 767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Title"/>
        <w:jc w:val="center"/>
      </w:pPr>
      <w:bookmarkStart w:id="0" w:name="P40"/>
      <w:bookmarkEnd w:id="0"/>
      <w:r>
        <w:t>ПОРЯДОК И УСЛОВИЯ</w:t>
      </w:r>
    </w:p>
    <w:p w:rsidR="00A6058F" w:rsidRDefault="00A6058F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A6058F" w:rsidRDefault="00A6058F">
      <w:pPr>
        <w:pStyle w:val="ConsPlusTitle"/>
        <w:jc w:val="center"/>
      </w:pPr>
      <w:r>
        <w:t>ОТДЕЛЬНЫМ КАТЕГОРИЯМ ДЕТЕЙ В ОРЛОВСКОМ МУНИЦИПАЛЬНОМ ОКРУГЕ</w:t>
      </w:r>
    </w:p>
    <w:p w:rsidR="00A6058F" w:rsidRDefault="00A6058F">
      <w:pPr>
        <w:pStyle w:val="ConsPlusTitle"/>
        <w:jc w:val="center"/>
      </w:pPr>
      <w:r>
        <w:t>В СФЕРЕ ОРГАНИЗАЦИИ ОТДЫХА И ОЗДОРОВЛЕНИЯ</w:t>
      </w:r>
    </w:p>
    <w:p w:rsidR="00A6058F" w:rsidRDefault="00A605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8F" w:rsidRDefault="00A605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8F" w:rsidRDefault="00A605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Орловского муниципального округа</w:t>
            </w:r>
          </w:p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6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13.03.2023 </w:t>
            </w:r>
            <w:hyperlink r:id="rId17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22.03.2023 </w:t>
            </w:r>
            <w:hyperlink r:id="rId18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A6058F" w:rsidRDefault="00A605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12.03.2024 </w:t>
            </w:r>
            <w:hyperlink r:id="rId19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58F" w:rsidRDefault="00A6058F">
            <w:pPr>
              <w:pStyle w:val="ConsPlusNormal"/>
            </w:pPr>
          </w:p>
        </w:tc>
      </w:tr>
    </w:tbl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Title"/>
        <w:jc w:val="center"/>
        <w:outlineLvl w:val="1"/>
      </w:pPr>
      <w:r>
        <w:t>1. Общие положения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  <w:r>
        <w:t xml:space="preserve">1.1. Порядок и условия предоставления дополнительных мер социальной поддержки отдельным категориям детей в Орловском муниципальном округе в сфере организации отдыха и оздоровления (далее - Порядок) разработаны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26 марта 2020 года N 176 "О реализации отдельных положений Закона Орловской области от 5 февраля 2010 года N 1021-ОЗ "Об основах организации и обеспечения отдыха и оздоровления детей в Орловской области".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13.03.2023 N 665)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1.2. Меры социальной поддержки отдельным категориям детей в сфере организации отдыха и оздоровления предоставляются в виде оплаты стоимости путевки в санаторно-курортную организацию (без организации санаторно-курортного лечения), загородный лагерь отдыха и оздоровления детей, детский оздоровительный центр, оказывающие услуги по отдыху и оздоровлению детей (далее - загородная оздоровительная организация).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1.3. Меры социальной поддержки по оплате путевок в загородные оздоровительные организации предоставляются не чаще одного раза в год.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1.4. Выбор загородной оздоровительной организации осуществляется родителем (законным представителем) ребенка при условии наличия путевок в выбранную оздоровительную организацию.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1.5. Исключен.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Орловского муниципального округа от 22.03.2023 N 792.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1.6. Предоставление мер социальной поддержки по оплате стоимости путевки осуществляется на основании заявления на получение путевки, поданного родителем (законным представителем) ребенка,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Орловского </w:t>
      </w:r>
      <w:r>
        <w:lastRenderedPageBreak/>
        <w:t>муниципального округа Орловской области от 22 марта 2022 года N 701 "Об утверждении Административного регламента предоставления муниципальной услуги "Предоставление путевок и направлений в места отдыха детей в каникулярное время".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1.7. Расходы по доставке детей в загородные оздоровительные организации и обратно несет родитель ребенка (законный представитель) или заинтересованная организация.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Title"/>
        <w:jc w:val="center"/>
        <w:outlineLvl w:val="1"/>
      </w:pPr>
      <w:r>
        <w:t>2. Категории детей в Орловском муниципальном округе,</w:t>
      </w:r>
    </w:p>
    <w:p w:rsidR="00A6058F" w:rsidRDefault="00A6058F">
      <w:pPr>
        <w:pStyle w:val="ConsPlusTitle"/>
        <w:jc w:val="center"/>
      </w:pPr>
      <w:r>
        <w:t>которым предоставляются меры социальной поддержки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  <w:r>
        <w:t>Меры социальной поддержки предоставляются следующим отдельным категориям детей от 7 до 17 лет включительно: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1" w:name="P64"/>
      <w:bookmarkEnd w:id="1"/>
      <w:r>
        <w:t>2.1. Детям, зарегистрированным в Орловском муниципальном округе, родители которых работают на предприятиях (организациях) бюджетной сферы.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2.2. Детям, зарегистрированным в Орловском муниципальном округе, родители которых работают на предприятиях (организациях) </w:t>
      </w:r>
      <w:proofErr w:type="spellStart"/>
      <w:r>
        <w:t>небюджетной</w:t>
      </w:r>
      <w:proofErr w:type="spellEnd"/>
      <w:r>
        <w:t xml:space="preserve"> сферы, в том числе детям индивидуальных предпринимателей и детям сотрудников, работающих у индивидуальных предпринимателей.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2.3. Детям сотрудников муниципальных учреждений Орловского муниципального округа.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2.4. Детям сотрудников органов местного самоуправления Орловского муниципального округа.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5" w:name="P68"/>
      <w:bookmarkEnd w:id="5"/>
      <w:r>
        <w:t>2.5. Детям из многодетных семей, зарегистрированным в Орловском муниципальном округе.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2.6. Детям военнослужащих, пострадавших в вооруженных конфликтах, зарегистрированным в Орловском муниципальном округе.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7" w:name="P70"/>
      <w:bookmarkEnd w:id="7"/>
      <w:r>
        <w:t>2.7. Детям участников ликвидации последствий катастрофы на Чернобыльской АЭС, зарегистрированным в Орловском муниципальном округе.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8" w:name="P71"/>
      <w:bookmarkEnd w:id="8"/>
      <w:r>
        <w:t>2.8. Одаренным детям, обучающимся в муниципальных бюджетных образовательных учреждениях Орловского муниципального округа (далее - общеобразовательные учреждения), подведомственных Управлению общего образования, физической культуры и спорта администрации Орловского муниципального округа (далее - Управление общего образования), на профильные смены.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12.03.2024 N 548)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2.8.1. 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на уровне детского объединения, образовательного учреждения, муниципального образования, региона, Российской Федерации, подтвержденных соответствующими грамотами, дипломами победителя и призера или документами о наличии призовых мест, полученных в спортивных соревнованиях, конкурсах, фестивалях, состязаниях.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9" w:name="P74"/>
      <w:bookmarkEnd w:id="9"/>
      <w:r>
        <w:t>2.9. Детям, обучающимся в общеобразовательных учреждениях, участникам объединений различной направленности на профильные смены.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2.10. Детям-сиротам и детям, оставшимся без попечения родителей, зарегистрированным в Орловском муниципальном округе.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2.11. Детям, имеющим статус ребенка-инвалида, зарегистрированным в Орловском муниципальном округе.</w:t>
      </w:r>
    </w:p>
    <w:p w:rsidR="00A6058F" w:rsidRDefault="00A6058F">
      <w:pPr>
        <w:pStyle w:val="ConsPlusNormal"/>
        <w:spacing w:before="220"/>
        <w:ind w:firstLine="540"/>
        <w:jc w:val="both"/>
      </w:pPr>
      <w:bookmarkStart w:id="12" w:name="P77"/>
      <w:bookmarkEnd w:id="12"/>
      <w:r>
        <w:lastRenderedPageBreak/>
        <w:t xml:space="preserve">2.12. Детям, обучающимся в общеобразовательных учреждениях, </w:t>
      </w:r>
      <w:proofErr w:type="spellStart"/>
      <w:r>
        <w:t>оздоравливаемым</w:t>
      </w:r>
      <w:proofErr w:type="spellEnd"/>
      <w:r>
        <w:t xml:space="preserve"> в лагерях с дневным пребыванием, организованным на базе общеобразовательных учреждений в каникулярное время.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Title"/>
        <w:jc w:val="center"/>
        <w:outlineLvl w:val="1"/>
      </w:pPr>
      <w:r>
        <w:t>3. Порядок и условия финансирования мер социальной поддержки</w:t>
      </w:r>
    </w:p>
    <w:p w:rsidR="00A6058F" w:rsidRDefault="00A6058F">
      <w:pPr>
        <w:pStyle w:val="ConsPlusTitle"/>
        <w:jc w:val="center"/>
      </w:pPr>
      <w:r>
        <w:t>по оплате стоимости путевок в загородные оздоровительные</w:t>
      </w:r>
    </w:p>
    <w:p w:rsidR="00A6058F" w:rsidRDefault="00A6058F">
      <w:pPr>
        <w:pStyle w:val="ConsPlusTitle"/>
        <w:jc w:val="center"/>
      </w:pPr>
      <w:r>
        <w:t>организации отдельным категориям детей за счет средств</w:t>
      </w:r>
    </w:p>
    <w:p w:rsidR="00A6058F" w:rsidRDefault="00A6058F">
      <w:pPr>
        <w:pStyle w:val="ConsPlusTitle"/>
        <w:jc w:val="center"/>
      </w:pPr>
      <w:r>
        <w:t>бюджета Орловского муниципального округа</w:t>
      </w:r>
    </w:p>
    <w:p w:rsidR="00A6058F" w:rsidRDefault="00A6058F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Орловского</w:t>
      </w:r>
    </w:p>
    <w:p w:rsidR="00A6058F" w:rsidRDefault="00A6058F">
      <w:pPr>
        <w:pStyle w:val="ConsPlusNormal"/>
        <w:jc w:val="center"/>
      </w:pPr>
      <w:r>
        <w:t>муниципального округа от 13.03.2023 N 665)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  <w:r>
        <w:t xml:space="preserve">3.1. Мера социальной поддержки по оплате стоимости путевок в загородные оздоровительные организации на смену продолжительностью 10, 12, 14 и 21 день в течение летних каникул предоставляется детям, указанным в </w:t>
      </w:r>
      <w:hyperlink w:anchor="P64">
        <w:r>
          <w:rPr>
            <w:color w:val="0000FF"/>
          </w:rPr>
          <w:t>пунктах 2.1</w:t>
        </w:r>
      </w:hyperlink>
      <w:r>
        <w:t xml:space="preserve">, </w:t>
      </w:r>
      <w:hyperlink w:anchor="P66">
        <w:r>
          <w:rPr>
            <w:color w:val="0000FF"/>
          </w:rPr>
          <w:t>2.3</w:t>
        </w:r>
      </w:hyperlink>
      <w:r>
        <w:t xml:space="preserve"> - </w:t>
      </w:r>
      <w:hyperlink w:anchor="P70">
        <w:r>
          <w:rPr>
            <w:color w:val="0000FF"/>
          </w:rPr>
          <w:t>2.7</w:t>
        </w:r>
      </w:hyperlink>
      <w:r>
        <w:t xml:space="preserve">, </w:t>
      </w:r>
      <w:hyperlink w:anchor="P75">
        <w:r>
          <w:rPr>
            <w:color w:val="0000FF"/>
          </w:rPr>
          <w:t>2.10</w:t>
        </w:r>
      </w:hyperlink>
      <w:r>
        <w:t xml:space="preserve">, </w:t>
      </w:r>
      <w:hyperlink w:anchor="P76">
        <w:r>
          <w:rPr>
            <w:color w:val="0000FF"/>
          </w:rPr>
          <w:t>2.11 раздела 2</w:t>
        </w:r>
      </w:hyperlink>
      <w:r>
        <w:t xml:space="preserve"> настоящего Порядка, в размере 85% стоимости путевки, рассчитанной исходя из стоимости расходов на одного ребенка в день, ежегодно устанавливаемой постановлением администрации Орловского муниципального округа.</w:t>
      </w:r>
    </w:p>
    <w:p w:rsidR="00A6058F" w:rsidRDefault="00A6058F">
      <w:pPr>
        <w:pStyle w:val="ConsPlusNormal"/>
        <w:jc w:val="both"/>
      </w:pPr>
      <w:r>
        <w:t xml:space="preserve">(п. 3.1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22.03.2023 N 792)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3.1.1. Оказание меры социальной поддержки по оплате стоимости путевки осуществляется на основании трехстороннего договора, заключаемого между Управлением общего образования, родителем (законным представителем) ребенка и загородной оздоровительной организацией.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3.1.2. Родительская доля стоимости путевок составляет не менее 15% и оплачивается родителем (законным представителем) ребенка непосредственно в загородную оздоровительную организацию.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22.03.2023 N 792)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3.1.2. Для перечисления Управлением общего образования средств бюджета Орловского муниципального округа (далее - бюджетные средства) в загородную оздоровительную организацию родитель (законный представитель) ребенка должен не ранее чем за 10 (десять) календарных дней и не позднее 3 (трех) рабочих дней до начала смены в загородной оздоровительной организации предоставить в Управление общего образования следующие документы: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22.03.2023 N 792)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договор об организации отдыха и оздоровления детей, полученный в загородной оздоровительной организации, в 3 экземплярах;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платежный документ, подтверждающий оплату родительской доли стоимости путевки, с указанием в назначении платежа Ф.И.О. ребенка и (или) реквизитов договора на оказание услуг по отдыху и оздоровлению детей.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3.1.3. Родитель или законный представитель ребенка не позднее 5 (пяти) рабочих дней после окончания смены в загородной оздоровительной организации представляет в Управление общего образования, осуществившее меру социальной поддержки по оплате стоимости путевки, акт оказанных услуг в соответствии с заключенным договором.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3.1.4. В случае непредставления акта оказанных услуг в установленный настоящим Порядком срок перечисленные бюджетные средства возмещаются получателем меры социальной поддержки по оплате стоимости путевки в бюджет Орловского муниципального округа в установленном законодательством порядке.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3.2. Мера социальной поддержки по оплате стоимости путевок в загородные </w:t>
      </w:r>
      <w:r>
        <w:lastRenderedPageBreak/>
        <w:t xml:space="preserve">оздоровительные организации на смену продолжительностью 10, 12, 14 и 21 день в течение летних каникул предоставляется детям, указанным в </w:t>
      </w:r>
      <w:hyperlink w:anchor="P65">
        <w:r>
          <w:rPr>
            <w:color w:val="0000FF"/>
          </w:rPr>
          <w:t>пункте 2.2 раздела 2</w:t>
        </w:r>
      </w:hyperlink>
      <w:r>
        <w:t xml:space="preserve"> настоящего Порядка, в размере 45% стоимости путевки, рассчитанной исходя из стоимости расходов на одного ребенка в день, ежегодно устанавливаемой постановлением администрации Орловского муниципального округа, и при условии оплаты 40% стоимости путевки за счет средств организации (предприятия), индивидуального предпринимателя.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Родительская доля стоимости путевки составляет не менее 15%.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Родительская доля стоимости путевки и доля стоимости путевки за счет средств организации (предприятия), индивидуального предпринимателя вносится ими самостоятельно непосредственно в загородную оздоровительную организацию.</w:t>
      </w:r>
    </w:p>
    <w:p w:rsidR="00A6058F" w:rsidRDefault="00A6058F">
      <w:pPr>
        <w:pStyle w:val="ConsPlusNormal"/>
        <w:jc w:val="both"/>
      </w:pPr>
      <w:r>
        <w:t xml:space="preserve">(п. 3.2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22.03.2023 N 792)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3.2.1. Оказание меры социальной поддержки по оплате стоимости путевки осуществляется на основании ходатайства с места работы родителя (законного представителя) ребенка о выделении путевки по свободной форме, заверенной подписью руководителя </w:t>
      </w:r>
      <w:proofErr w:type="spellStart"/>
      <w:r>
        <w:t>небюджетной</w:t>
      </w:r>
      <w:proofErr w:type="spellEnd"/>
      <w:r>
        <w:t xml:space="preserve"> организации (индивидуального предпринимателя) и четырехстороннего договора, заключаемого между Управлением общего образования, родителем (законным представителем) ребенка, </w:t>
      </w:r>
      <w:proofErr w:type="spellStart"/>
      <w:r>
        <w:t>небюджетной</w:t>
      </w:r>
      <w:proofErr w:type="spellEnd"/>
      <w:r>
        <w:t xml:space="preserve"> организацией (индивидуальным предпринимателем), работником которой является родитель или законный представитель ребенка, и загородной оздоровительной организацией.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3.2.2. Для перечисления Управлением общего образования бюджетных средств в загородную оздоровительную организацию родитель (законный представитель) ребенка должен не ранее чем за 10 (десять) календарных дней и не позднее 3 (трех) рабочих дней до начала смены в загородной оздоровительной организации предоставить в Управление общего образования следующие документы:</w:t>
      </w:r>
    </w:p>
    <w:p w:rsidR="00A6058F" w:rsidRDefault="00A6058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Орловского муниципального округа от 22.03.2023 N 792)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договор об организации отдыха и оздоровления детей, полученный в загородной оздоровительной организации, в 4 экземплярах;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платежный документ, подтверждающий оплату родительской доли стоимости путевки, с указанием в назначении платежа Ф.И.О. ребенка и (или) реквизитов договора на оказание услуг по отдыху и оздоровлению детей;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- копию платежного документа, подтверждающего оплату доли стоимости путевки </w:t>
      </w:r>
      <w:proofErr w:type="spellStart"/>
      <w:r>
        <w:t>небюджетной</w:t>
      </w:r>
      <w:proofErr w:type="spellEnd"/>
      <w:r>
        <w:t xml:space="preserve"> организацией (индивидуальным предпринимателем), с указанием в назначении платежа Ф.И.О. </w:t>
      </w:r>
      <w:proofErr w:type="spellStart"/>
      <w:r>
        <w:t>оздоравливаемого</w:t>
      </w:r>
      <w:proofErr w:type="spellEnd"/>
      <w:r>
        <w:t xml:space="preserve"> ребенка и (или) реквизиты договора на оказание услуг по оздоровлению детей.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3.2.3. Родитель или законный представитель ребенка не позднее 5 (пяти) рабочих дней после окончания смены в загородной оздоровительной организации представляет в Управление общего образования, осуществившей меру социальной поддержки по оплате стоимости путевки, акт оказанных услуг в соответствии с заключенным договором.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3.2.4. В случае непредставления акта оказанных услуг в установленный настоящим Порядком срок перечисленные бюджетные средства возмещаются получателем меры социальной поддержки по оплате стоимости путевки в бюджет Орловского муниципального округа в установленном законодательством порядке.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3.3. Мера социальной поддержки по оплате питания в лагерях с дневным пребыванием детей, организованных общеобразовательными учреждениями, в течение летних каникул предоставляется детям, указанным в </w:t>
      </w:r>
      <w:hyperlink w:anchor="P77">
        <w:r>
          <w:rPr>
            <w:color w:val="0000FF"/>
          </w:rPr>
          <w:t>пункте 2.12</w:t>
        </w:r>
      </w:hyperlink>
      <w:r>
        <w:t xml:space="preserve"> настоящего Порядка.</w:t>
      </w:r>
    </w:p>
    <w:p w:rsidR="00A6058F" w:rsidRDefault="00A6058F">
      <w:pPr>
        <w:pStyle w:val="ConsPlusNormal"/>
        <w:jc w:val="both"/>
      </w:pPr>
      <w:r>
        <w:t xml:space="preserve">(в ред. Постановлений Администрации Орловского муниципального округа от 12.05.2022 </w:t>
      </w:r>
      <w:hyperlink r:id="rId33">
        <w:r>
          <w:rPr>
            <w:color w:val="0000FF"/>
          </w:rPr>
          <w:t>N 1228</w:t>
        </w:r>
      </w:hyperlink>
      <w:r>
        <w:t xml:space="preserve">, от </w:t>
      </w:r>
      <w:r>
        <w:lastRenderedPageBreak/>
        <w:t xml:space="preserve">13.03.2023 </w:t>
      </w:r>
      <w:hyperlink r:id="rId34">
        <w:r>
          <w:rPr>
            <w:color w:val="0000FF"/>
          </w:rPr>
          <w:t>N 665</w:t>
        </w:r>
      </w:hyperlink>
      <w:r>
        <w:t>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Стоимость расходов на питание в лагерях с дневным пребыванием детей, организованных общеобразовательными учреждениями, на одного ребенка в день и продолжительность смены ежегодно устанавливаются постановлением администрации Орловского муниципального округа.</w:t>
      </w:r>
    </w:p>
    <w:p w:rsidR="00A6058F" w:rsidRDefault="00A6058F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Орловского муниципального округа от 22.03.2023 N 792)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3.3.1. Мера социальной поддержки по оплате питания в лагерях с дневным пребыванием детей, организованных на базе общеобразовательных учреждений, предоставляется: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в размере 50% обучающимся общеобразовательных учреждений;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в размере 100% за счет бюджетных средств следующим категориям детей: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детям из малоимущих семей;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детям из многодетных семей;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детям-сиротам и детям, находящимся под опекой;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детям-инвалидам;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детям граждан Российской Федерации, призванным на военную службу по мобилизации в Вооруженные Силы Российской Федерации, или направленным военными комиссариатами субъектов Российской Федерации для прохождения военной службы по контракту для участия в специальной военной операции на территории Украины, Донецкой Народной Республики, Луганской Народной Республики, Херсонской и Запорожской областей (далее - специальная военная операция), сотрудников органов внутренних дел Российской Федерации, лиц, проходящих службу в войсках национальной гвардии Российской Федерации, командированным для выполнения задач в ходе специальной военной операции (за исключением лиц, для которых соответствующие меры поддержки установлены законодательством Российской Федерации);</w:t>
      </w:r>
    </w:p>
    <w:p w:rsidR="00A6058F" w:rsidRDefault="00A6058F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Орловского муниципального округа от 13.03.2023 N 665)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- полнородным и </w:t>
      </w:r>
      <w:proofErr w:type="spellStart"/>
      <w:r>
        <w:t>неполнородным</w:t>
      </w:r>
      <w:proofErr w:type="spellEnd"/>
      <w:r>
        <w:t xml:space="preserve"> братьям и сестрам, в том числе их детям, при отсутствии членов семьи у граждан Российской Федерации, призванным на военную службу по мобилизации в Вооруженные Силы Российской Федерации, или направленным военными комиссариатами субъектов Российской Федерации для прохождения военной службы по контракту для участия в специальной военной операции, сотрудников органов внутренних дел Российской Федерации, лиц, проходящих службу в войсках национальной гвардии Российской Федерации, командированным для выполнения задач в ходе специальной военной операции.</w:t>
      </w:r>
    </w:p>
    <w:p w:rsidR="00A6058F" w:rsidRDefault="00A6058F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Орловского муниципального округа от 13.03.2023 N 665)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3.3.2. Средства на оплату питания детей в лагерях с дневным пребыванием детей, организованным на базе общеобразовательных учреждений, перечисляются на счета общеобразовательных учреждений на основании заявки руководителя, направленной до 30 апреля текущего года в Управление общего образования. Общеобразовательные учреждения представляют в Управление общего образования финансовый отчет об использовании указанных средств в срок не позднее 5 дней после окончания смены.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3.4. Мера социальной поддержки по оплате путевок в размере 100% ее стоимости на профильные смены предоставляется в загородные оздоровительные организации, за исключением санаторно-курортной организации, в каникулярное время для детей, указанных в </w:t>
      </w:r>
      <w:hyperlink w:anchor="P71">
        <w:r>
          <w:rPr>
            <w:color w:val="0000FF"/>
          </w:rPr>
          <w:t>пунктах 2.8</w:t>
        </w:r>
      </w:hyperlink>
      <w:r>
        <w:t xml:space="preserve"> и </w:t>
      </w:r>
      <w:hyperlink w:anchor="P74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lastRenderedPageBreak/>
        <w:t xml:space="preserve">3.4.1. Путевки для детей, указанных в </w:t>
      </w:r>
      <w:hyperlink w:anchor="P71">
        <w:r>
          <w:rPr>
            <w:color w:val="0000FF"/>
          </w:rPr>
          <w:t>пунктах 2.8</w:t>
        </w:r>
      </w:hyperlink>
      <w:r>
        <w:t xml:space="preserve"> и </w:t>
      </w:r>
      <w:hyperlink w:anchor="P74">
        <w:r>
          <w:rPr>
            <w:color w:val="0000FF"/>
          </w:rPr>
          <w:t>2.9</w:t>
        </w:r>
      </w:hyperlink>
      <w:r>
        <w:t xml:space="preserve"> настоящего Порядка, выделяются на основании заявки общеобразовательного учреждения. Заявка, заверенная подписью руководителя учреждения, направляется в Управление общего образования в срок до 30 апреля текущего года. К заявке необходимо приложить следующие документы: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список одаренных детей или детей - участников объединений различной направленности общеобразовательного учреждения, направляемых в загородные оздоровительные организации, за исключением санаторно-курортной организации, на профильную смену;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- копии грамот, дипломов или документов, подтверждающих наличие призовых мест, полученных в спортивных соревнованиях, конкурсах, фестивалях, состязаниях.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 xml:space="preserve">3.5. Дети, указанные в </w:t>
      </w:r>
      <w:hyperlink w:anchor="P64">
        <w:r>
          <w:rPr>
            <w:color w:val="0000FF"/>
          </w:rPr>
          <w:t>пунктах 2.1</w:t>
        </w:r>
      </w:hyperlink>
      <w:r>
        <w:t xml:space="preserve">, </w:t>
      </w:r>
      <w:hyperlink w:anchor="P65">
        <w:r>
          <w:rPr>
            <w:color w:val="0000FF"/>
          </w:rPr>
          <w:t>2.2</w:t>
        </w:r>
      </w:hyperlink>
      <w:r>
        <w:t xml:space="preserve">, </w:t>
      </w:r>
      <w:hyperlink w:anchor="P66">
        <w:r>
          <w:rPr>
            <w:color w:val="0000FF"/>
          </w:rPr>
          <w:t>2.3</w:t>
        </w:r>
      </w:hyperlink>
      <w:r>
        <w:t xml:space="preserve">, </w:t>
      </w:r>
      <w:hyperlink w:anchor="P67">
        <w:r>
          <w:rPr>
            <w:color w:val="0000FF"/>
          </w:rPr>
          <w:t>2.4</w:t>
        </w:r>
      </w:hyperlink>
      <w:r>
        <w:t xml:space="preserve">, </w:t>
      </w:r>
      <w:hyperlink w:anchor="P68">
        <w:r>
          <w:rPr>
            <w:color w:val="0000FF"/>
          </w:rPr>
          <w:t>2.5</w:t>
        </w:r>
      </w:hyperlink>
      <w:r>
        <w:t xml:space="preserve">, </w:t>
      </w:r>
      <w:hyperlink w:anchor="P69">
        <w:r>
          <w:rPr>
            <w:color w:val="0000FF"/>
          </w:rPr>
          <w:t>2.6</w:t>
        </w:r>
      </w:hyperlink>
      <w:r>
        <w:t xml:space="preserve">, </w:t>
      </w:r>
      <w:hyperlink w:anchor="P70">
        <w:r>
          <w:rPr>
            <w:color w:val="0000FF"/>
          </w:rPr>
          <w:t>2.7</w:t>
        </w:r>
      </w:hyperlink>
      <w:r>
        <w:t xml:space="preserve"> и </w:t>
      </w:r>
      <w:hyperlink w:anchor="P77">
        <w:r>
          <w:rPr>
            <w:color w:val="0000FF"/>
          </w:rPr>
          <w:t>2.12</w:t>
        </w:r>
      </w:hyperlink>
      <w:r>
        <w:t xml:space="preserve"> настоящего Порядка, включаются в списки на выделение путевки на основании очередности подачи заявлений родителей (законных представителей).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3.6. Во внеочередном порядке, но с учетом очередности подачи заявлений родителей (законных представителей) детей, в списки на выделение путевки включаются: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2) дети, имеющие статус ребенка-инвалида;</w:t>
      </w:r>
    </w:p>
    <w:p w:rsidR="00A6058F" w:rsidRDefault="00A6058F">
      <w:pPr>
        <w:pStyle w:val="ConsPlusNormal"/>
        <w:spacing w:before="220"/>
        <w:ind w:firstLine="540"/>
        <w:jc w:val="both"/>
      </w:pPr>
      <w:r>
        <w:t>3) дети, не получавшие путевки за счет бюджетных средств в течение последних 3 лет.</w:t>
      </w: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ind w:firstLine="540"/>
        <w:jc w:val="both"/>
      </w:pPr>
    </w:p>
    <w:p w:rsidR="00A6058F" w:rsidRDefault="00A605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9F" w:rsidRPr="00007765" w:rsidRDefault="005B769F">
      <w:bookmarkStart w:id="13" w:name="_GoBack"/>
      <w:bookmarkEnd w:id="13"/>
    </w:p>
    <w:sectPr w:rsidR="005B769F" w:rsidRPr="00007765" w:rsidSect="006B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8F"/>
    <w:rsid w:val="00007765"/>
    <w:rsid w:val="005B769F"/>
    <w:rsid w:val="00A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3423-AC6D-44F4-8B18-7E0BA12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05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05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5588&amp;dst=100005" TargetMode="External"/><Relationship Id="rId13" Type="http://schemas.openxmlformats.org/officeDocument/2006/relationships/hyperlink" Target="https://login.consultant.ru/link/?req=doc&amp;base=RLAW127&amp;n=88582&amp;dst=100008" TargetMode="External"/><Relationship Id="rId18" Type="http://schemas.openxmlformats.org/officeDocument/2006/relationships/hyperlink" Target="https://login.consultant.ru/link/?req=doc&amp;base=RLAW127&amp;n=88585&amp;dst=100005" TargetMode="External"/><Relationship Id="rId26" Type="http://schemas.openxmlformats.org/officeDocument/2006/relationships/hyperlink" Target="https://login.consultant.ru/link/?req=doc&amp;base=RLAW127&amp;n=95588&amp;dst=10000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9798" TargetMode="External"/><Relationship Id="rId34" Type="http://schemas.openxmlformats.org/officeDocument/2006/relationships/hyperlink" Target="https://login.consultant.ru/link/?req=doc&amp;base=RLAW127&amp;n=88582&amp;dst=100021" TargetMode="External"/><Relationship Id="rId7" Type="http://schemas.openxmlformats.org/officeDocument/2006/relationships/hyperlink" Target="https://login.consultant.ru/link/?req=doc&amp;base=RLAW127&amp;n=88585&amp;dst=100005" TargetMode="External"/><Relationship Id="rId12" Type="http://schemas.openxmlformats.org/officeDocument/2006/relationships/hyperlink" Target="https://login.consultant.ru/link/?req=doc&amp;base=RLAW127&amp;n=88582&amp;dst=100007" TargetMode="External"/><Relationship Id="rId17" Type="http://schemas.openxmlformats.org/officeDocument/2006/relationships/hyperlink" Target="https://login.consultant.ru/link/?req=doc&amp;base=RLAW127&amp;n=88582&amp;dst=100009" TargetMode="External"/><Relationship Id="rId25" Type="http://schemas.openxmlformats.org/officeDocument/2006/relationships/hyperlink" Target="https://login.consultant.ru/link/?req=doc&amp;base=RLAW127&amp;n=92658" TargetMode="External"/><Relationship Id="rId33" Type="http://schemas.openxmlformats.org/officeDocument/2006/relationships/hyperlink" Target="https://login.consultant.ru/link/?req=doc&amp;base=RLAW127&amp;n=80755&amp;dst=10000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0755&amp;dst=100005" TargetMode="External"/><Relationship Id="rId20" Type="http://schemas.openxmlformats.org/officeDocument/2006/relationships/hyperlink" Target="https://login.consultant.ru/link/?req=doc&amp;base=LAW&amp;n=446171" TargetMode="External"/><Relationship Id="rId29" Type="http://schemas.openxmlformats.org/officeDocument/2006/relationships/hyperlink" Target="https://login.consultant.ru/link/?req=doc&amp;base=RLAW127&amp;n=88585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88582&amp;dst=100005" TargetMode="External"/><Relationship Id="rId11" Type="http://schemas.openxmlformats.org/officeDocument/2006/relationships/hyperlink" Target="https://login.consultant.ru/link/?req=doc&amp;base=RLAW127&amp;n=95054" TargetMode="External"/><Relationship Id="rId24" Type="http://schemas.openxmlformats.org/officeDocument/2006/relationships/hyperlink" Target="https://login.consultant.ru/link/?req=doc&amp;base=RLAW127&amp;n=88585&amp;dst=100006" TargetMode="External"/><Relationship Id="rId32" Type="http://schemas.openxmlformats.org/officeDocument/2006/relationships/hyperlink" Target="https://login.consultant.ru/link/?req=doc&amp;base=RLAW127&amp;n=88585&amp;dst=100014" TargetMode="External"/><Relationship Id="rId37" Type="http://schemas.openxmlformats.org/officeDocument/2006/relationships/hyperlink" Target="https://login.consultant.ru/link/?req=doc&amp;base=RLAW127&amp;n=88582&amp;dst=100024" TargetMode="External"/><Relationship Id="rId5" Type="http://schemas.openxmlformats.org/officeDocument/2006/relationships/hyperlink" Target="https://login.consultant.ru/link/?req=doc&amp;base=RLAW127&amp;n=80755&amp;dst=100005" TargetMode="External"/><Relationship Id="rId15" Type="http://schemas.openxmlformats.org/officeDocument/2006/relationships/hyperlink" Target="https://login.consultant.ru/link/?req=doc&amp;base=RLAW127&amp;n=73680" TargetMode="External"/><Relationship Id="rId23" Type="http://schemas.openxmlformats.org/officeDocument/2006/relationships/hyperlink" Target="https://login.consultant.ru/link/?req=doc&amp;base=RLAW127&amp;n=88582&amp;dst=100011" TargetMode="External"/><Relationship Id="rId28" Type="http://schemas.openxmlformats.org/officeDocument/2006/relationships/hyperlink" Target="https://login.consultant.ru/link/?req=doc&amp;base=RLAW127&amp;n=88585&amp;dst=100007" TargetMode="External"/><Relationship Id="rId36" Type="http://schemas.openxmlformats.org/officeDocument/2006/relationships/hyperlink" Target="https://login.consultant.ru/link/?req=doc&amp;base=RLAW127&amp;n=88582&amp;dst=100022" TargetMode="External"/><Relationship Id="rId10" Type="http://schemas.openxmlformats.org/officeDocument/2006/relationships/hyperlink" Target="https://login.consultant.ru/link/?req=doc&amp;base=RLAW127&amp;n=88339" TargetMode="External"/><Relationship Id="rId19" Type="http://schemas.openxmlformats.org/officeDocument/2006/relationships/hyperlink" Target="https://login.consultant.ru/link/?req=doc&amp;base=RLAW127&amp;n=95588&amp;dst=100005" TargetMode="External"/><Relationship Id="rId31" Type="http://schemas.openxmlformats.org/officeDocument/2006/relationships/hyperlink" Target="https://login.consultant.ru/link/?req=doc&amp;base=RLAW127&amp;n=88585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9798" TargetMode="External"/><Relationship Id="rId14" Type="http://schemas.openxmlformats.org/officeDocument/2006/relationships/hyperlink" Target="https://login.consultant.ru/link/?req=doc&amp;base=RLAW127&amp;n=75635" TargetMode="External"/><Relationship Id="rId22" Type="http://schemas.openxmlformats.org/officeDocument/2006/relationships/hyperlink" Target="https://login.consultant.ru/link/?req=doc&amp;base=RLAW127&amp;n=95054" TargetMode="External"/><Relationship Id="rId27" Type="http://schemas.openxmlformats.org/officeDocument/2006/relationships/hyperlink" Target="https://login.consultant.ru/link/?req=doc&amp;base=RLAW127&amp;n=88582&amp;dst=100012" TargetMode="External"/><Relationship Id="rId30" Type="http://schemas.openxmlformats.org/officeDocument/2006/relationships/hyperlink" Target="https://login.consultant.ru/link/?req=doc&amp;base=RLAW127&amp;n=88585&amp;dst=100009" TargetMode="External"/><Relationship Id="rId35" Type="http://schemas.openxmlformats.org/officeDocument/2006/relationships/hyperlink" Target="https://login.consultant.ru/link/?req=doc&amp;base=RLAW127&amp;n=88585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2024-03-27T10:54:00Z</dcterms:created>
  <dcterms:modified xsi:type="dcterms:W3CDTF">2024-03-27T12:26:00Z</dcterms:modified>
</cp:coreProperties>
</file>